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87" w:rsidRDefault="00544BD9" w:rsidP="00544BD9">
      <w:pPr>
        <w:jc w:val="right"/>
        <w:rPr>
          <w:rFonts w:ascii="Calibri" w:hAnsi="Calibri"/>
          <w:b/>
          <w:i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994CE5" wp14:editId="0E27BE91">
            <wp:simplePos x="0" y="0"/>
            <wp:positionH relativeFrom="column">
              <wp:posOffset>4529455</wp:posOffset>
            </wp:positionH>
            <wp:positionV relativeFrom="paragraph">
              <wp:posOffset>-518795</wp:posOffset>
            </wp:positionV>
            <wp:extent cx="12192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263" y="21442"/>
                <wp:lineTo x="212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DDA93C3" wp14:editId="35636EAA">
            <wp:simplePos x="0" y="0"/>
            <wp:positionH relativeFrom="column">
              <wp:posOffset>-90805</wp:posOffset>
            </wp:positionH>
            <wp:positionV relativeFrom="paragraph">
              <wp:posOffset>-561975</wp:posOffset>
            </wp:positionV>
            <wp:extent cx="2066290" cy="798830"/>
            <wp:effectExtent l="0" t="0" r="0" b="1270"/>
            <wp:wrapNone/>
            <wp:docPr id="3" name="Picture 3" descr="http://www2.vrtec-ms.si/resources/assets/fron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vrtec-ms.si/resources/assets/front/images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0387" w:rsidRDefault="002D0387" w:rsidP="002D0387">
      <w:pPr>
        <w:rPr>
          <w:rFonts w:ascii="Calibri" w:hAnsi="Calibri"/>
          <w:sz w:val="8"/>
          <w:szCs w:val="8"/>
        </w:rPr>
      </w:pPr>
    </w:p>
    <w:p w:rsidR="002D0387" w:rsidRDefault="002D0387" w:rsidP="002D0387">
      <w:pPr>
        <w:rPr>
          <w:rFonts w:ascii="Calibri" w:hAnsi="Calibri"/>
          <w:i/>
          <w:sz w:val="22"/>
          <w:szCs w:val="22"/>
        </w:rPr>
      </w:pPr>
    </w:p>
    <w:p w:rsidR="002D0387" w:rsidRDefault="002D0387" w:rsidP="002D0387">
      <w:pPr>
        <w:rPr>
          <w:rFonts w:ascii="Calibri" w:hAnsi="Calibri"/>
          <w:i/>
          <w:sz w:val="22"/>
          <w:szCs w:val="22"/>
        </w:rPr>
      </w:pPr>
    </w:p>
    <w:p w:rsidR="002D0387" w:rsidRDefault="002D0387" w:rsidP="002D0387">
      <w:pPr>
        <w:rPr>
          <w:rFonts w:ascii="Calibri" w:hAnsi="Calibri"/>
          <w:i/>
          <w:sz w:val="22"/>
          <w:szCs w:val="22"/>
        </w:rPr>
      </w:pPr>
    </w:p>
    <w:p w:rsidR="002D0387" w:rsidRPr="00544BD9" w:rsidRDefault="002D0387" w:rsidP="002D0387">
      <w:pPr>
        <w:rPr>
          <w:rFonts w:ascii="Verdana" w:hAnsi="Verdana"/>
          <w:sz w:val="22"/>
          <w:szCs w:val="22"/>
        </w:rPr>
      </w:pPr>
      <w:r w:rsidRPr="00544BD9">
        <w:rPr>
          <w:rFonts w:ascii="Verdana" w:hAnsi="Verdana"/>
          <w:i/>
          <w:sz w:val="22"/>
          <w:szCs w:val="22"/>
        </w:rPr>
        <w:t xml:space="preserve">Murska Sobota, </w:t>
      </w:r>
      <w:r w:rsidRPr="00544BD9">
        <w:rPr>
          <w:rFonts w:ascii="Verdana" w:hAnsi="Verdana"/>
          <w:sz w:val="22"/>
          <w:szCs w:val="22"/>
        </w:rPr>
        <w:t xml:space="preserve"> </w:t>
      </w:r>
      <w:r w:rsidR="00E73F8B">
        <w:rPr>
          <w:rFonts w:ascii="Verdana" w:hAnsi="Verdana"/>
          <w:sz w:val="22"/>
          <w:szCs w:val="22"/>
        </w:rPr>
        <w:t>02. 04</w:t>
      </w:r>
      <w:r w:rsidRPr="00544BD9">
        <w:rPr>
          <w:rFonts w:ascii="Verdana" w:hAnsi="Verdana"/>
          <w:sz w:val="22"/>
          <w:szCs w:val="22"/>
        </w:rPr>
        <w:t>. 201</w:t>
      </w:r>
      <w:r w:rsidR="00E73F8B">
        <w:rPr>
          <w:rFonts w:ascii="Verdana" w:hAnsi="Verdana"/>
          <w:sz w:val="22"/>
          <w:szCs w:val="22"/>
        </w:rPr>
        <w:t>9</w:t>
      </w:r>
    </w:p>
    <w:p w:rsidR="002D0387" w:rsidRPr="00544BD9" w:rsidRDefault="002D0387" w:rsidP="002D0387">
      <w:pPr>
        <w:jc w:val="both"/>
        <w:rPr>
          <w:rFonts w:ascii="Verdana" w:hAnsi="Verdana"/>
          <w:b/>
          <w:u w:val="single"/>
        </w:rPr>
      </w:pPr>
    </w:p>
    <w:p w:rsidR="002D0387" w:rsidRPr="00544BD9" w:rsidRDefault="002D0387" w:rsidP="002D0387">
      <w:pPr>
        <w:spacing w:line="276" w:lineRule="auto"/>
        <w:jc w:val="center"/>
        <w:rPr>
          <w:rFonts w:ascii="Verdana" w:hAnsi="Verdana"/>
          <w:b/>
          <w:bCs/>
        </w:rPr>
      </w:pPr>
      <w:r w:rsidRPr="00544BD9">
        <w:rPr>
          <w:rFonts w:ascii="Verdana" w:hAnsi="Verdana"/>
          <w:b/>
          <w:bCs/>
        </w:rPr>
        <w:t>OZNAČEVANJE ALERGENOV V ŽIVILIH</w:t>
      </w:r>
    </w:p>
    <w:p w:rsidR="002D0387" w:rsidRPr="00544BD9" w:rsidRDefault="002D0387" w:rsidP="002D0387">
      <w:pPr>
        <w:spacing w:line="276" w:lineRule="auto"/>
        <w:jc w:val="both"/>
        <w:rPr>
          <w:rFonts w:ascii="Verdana" w:hAnsi="Verdana"/>
          <w:b/>
          <w:bCs/>
          <w:sz w:val="16"/>
          <w:szCs w:val="16"/>
        </w:rPr>
      </w:pPr>
    </w:p>
    <w:p w:rsidR="002D0387" w:rsidRPr="00544BD9" w:rsidRDefault="002D0387" w:rsidP="002D0387">
      <w:pPr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 xml:space="preserve">Na osnovi Uredbe (EU) št. 1169/2011 Evropskega Parlamenta in Sveta o zagotavljanju informacij o živilih potrošnikom in Uredbe o izvajanju uredbe (EU) o zagotavljanju informacij o živilih potrošnikom (Uradni list RS, št. </w:t>
      </w:r>
      <w:hyperlink r:id="rId8" w:tgtFrame="_blank" w:tooltip="Uredba o izvajanju uredbe (EU) o zagotavljanju informacij o živilih potrošnikom" w:history="1">
        <w:r w:rsidRPr="00544BD9">
          <w:rPr>
            <w:rStyle w:val="Hiperpovezava"/>
            <w:rFonts w:ascii="Verdana" w:hAnsi="Verdana"/>
            <w:color w:val="auto"/>
            <w:sz w:val="20"/>
            <w:szCs w:val="20"/>
          </w:rPr>
          <w:t>6/14</w:t>
        </w:r>
      </w:hyperlink>
      <w:r w:rsidRPr="00544BD9">
        <w:rPr>
          <w:rFonts w:ascii="Verdana" w:hAnsi="Verdana"/>
          <w:sz w:val="20"/>
          <w:szCs w:val="20"/>
        </w:rPr>
        <w:t xml:space="preserve">) </w:t>
      </w:r>
      <w:r w:rsidRPr="00544BD9">
        <w:rPr>
          <w:rFonts w:ascii="Verdana" w:hAnsi="Verdana"/>
          <w:b/>
          <w:sz w:val="20"/>
          <w:szCs w:val="20"/>
        </w:rPr>
        <w:t>Vrtec Murska Sobota</w:t>
      </w:r>
      <w:r w:rsidRPr="00544BD9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544BD9">
        <w:rPr>
          <w:rFonts w:ascii="Verdana" w:hAnsi="Verdana"/>
          <w:sz w:val="20"/>
          <w:szCs w:val="20"/>
        </w:rPr>
        <w:t xml:space="preserve">obvešča javnost o zagotavljanju varnosti živil, ki se uporabljajo v vrtcu: </w:t>
      </w:r>
    </w:p>
    <w:p w:rsidR="002D0387" w:rsidRPr="00544BD9" w:rsidRDefault="002D0387" w:rsidP="002D0387">
      <w:pPr>
        <w:pStyle w:val="Default"/>
        <w:spacing w:line="276" w:lineRule="auto"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2D0387" w:rsidRPr="00544BD9" w:rsidRDefault="002D0387" w:rsidP="002D0387">
      <w:pPr>
        <w:pStyle w:val="Default"/>
        <w:spacing w:line="276" w:lineRule="auto"/>
        <w:jc w:val="both"/>
        <w:rPr>
          <w:rFonts w:ascii="Verdana" w:hAnsi="Verdana" w:cs="Times New Roman"/>
          <w:b/>
          <w:color w:val="auto"/>
          <w:sz w:val="20"/>
          <w:szCs w:val="20"/>
        </w:rPr>
      </w:pPr>
      <w:r w:rsidRPr="00544BD9">
        <w:rPr>
          <w:rFonts w:ascii="Verdana" w:hAnsi="Verdana" w:cs="Times New Roman"/>
          <w:b/>
          <w:color w:val="auto"/>
          <w:sz w:val="20"/>
          <w:szCs w:val="20"/>
        </w:rPr>
        <w:t xml:space="preserve">A) Nekatere jedi na jedilniku lahko vsebujejo snovi, ki povzročajo alergije ali preobčutljivosti:  </w:t>
      </w:r>
    </w:p>
    <w:p w:rsidR="002D0387" w:rsidRPr="00544BD9" w:rsidRDefault="002D0387" w:rsidP="002D0387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1. Žita, ki vsebujejo gluten, zlasti: pšenica (npr. pira in horasan), rž, ječmen, oves ali njihove križane vrste, in proizvodi iz njih, razen:</w:t>
      </w:r>
    </w:p>
    <w:p w:rsidR="002D0387" w:rsidRPr="00544BD9" w:rsidRDefault="002D0387" w:rsidP="002D0387">
      <w:pPr>
        <w:pStyle w:val="norm"/>
        <w:spacing w:before="0" w:beforeAutospacing="0" w:after="0" w:afterAutospacing="0"/>
        <w:ind w:firstLine="708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 xml:space="preserve">(a) glukoznih sirupov na osnovi pšenice, vključno z dekstrozo  </w:t>
      </w:r>
      <w:r w:rsidRPr="00544BD9">
        <w:rPr>
          <w:rFonts w:ascii="Verdana" w:hAnsi="Verdana"/>
          <w:i/>
          <w:sz w:val="20"/>
          <w:szCs w:val="20"/>
        </w:rPr>
        <w:t>(</w:t>
      </w:r>
      <w:hyperlink r:id="rId9" w:anchor="E0042" w:history="1">
        <w:r w:rsidRPr="00544BD9">
          <w:rPr>
            <w:rStyle w:val="superscript"/>
            <w:rFonts w:ascii="Verdana" w:hAnsi="Verdana"/>
            <w:i/>
            <w:sz w:val="20"/>
            <w:szCs w:val="20"/>
            <w:u w:val="single"/>
          </w:rPr>
          <w:t>42</w:t>
        </w:r>
      </w:hyperlink>
      <w:r w:rsidRPr="00544BD9">
        <w:rPr>
          <w:rFonts w:ascii="Verdana" w:hAnsi="Verdana"/>
          <w:i/>
          <w:sz w:val="20"/>
          <w:szCs w:val="20"/>
        </w:rPr>
        <w:t>)</w:t>
      </w:r>
      <w:r w:rsidRPr="00544BD9">
        <w:rPr>
          <w:rFonts w:ascii="Verdana" w:hAnsi="Verdana"/>
          <w:sz w:val="20"/>
          <w:szCs w:val="20"/>
        </w:rPr>
        <w:t>;</w:t>
      </w:r>
    </w:p>
    <w:p w:rsidR="002D0387" w:rsidRPr="00544BD9" w:rsidRDefault="002D0387" w:rsidP="002D0387">
      <w:pPr>
        <w:pStyle w:val="norm"/>
        <w:spacing w:before="0" w:beforeAutospacing="0" w:after="0" w:afterAutospacing="0"/>
        <w:ind w:firstLine="708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(b) maltodekstrinov na osnovi pšenice </w:t>
      </w:r>
      <w:r w:rsidRPr="00544BD9">
        <w:rPr>
          <w:rFonts w:ascii="Verdana" w:hAnsi="Verdana"/>
          <w:i/>
          <w:sz w:val="20"/>
          <w:szCs w:val="20"/>
        </w:rPr>
        <w:t>(</w:t>
      </w:r>
      <w:hyperlink r:id="rId10" w:anchor="E0042" w:history="1">
        <w:r w:rsidRPr="00544BD9">
          <w:rPr>
            <w:rStyle w:val="superscript"/>
            <w:rFonts w:ascii="Verdana" w:hAnsi="Verdana"/>
            <w:i/>
            <w:sz w:val="20"/>
            <w:szCs w:val="20"/>
            <w:u w:val="single"/>
          </w:rPr>
          <w:t>42</w:t>
        </w:r>
      </w:hyperlink>
      <w:r w:rsidRPr="00544BD9">
        <w:rPr>
          <w:rFonts w:ascii="Verdana" w:hAnsi="Verdana"/>
          <w:i/>
          <w:sz w:val="20"/>
          <w:szCs w:val="20"/>
        </w:rPr>
        <w:t>)</w:t>
      </w:r>
      <w:r w:rsidRPr="00544BD9">
        <w:rPr>
          <w:rFonts w:ascii="Verdana" w:hAnsi="Verdana"/>
          <w:sz w:val="20"/>
          <w:szCs w:val="20"/>
        </w:rPr>
        <w:t>;</w:t>
      </w:r>
    </w:p>
    <w:p w:rsidR="002D0387" w:rsidRPr="00544BD9" w:rsidRDefault="002D0387" w:rsidP="002D0387">
      <w:pPr>
        <w:pStyle w:val="norm"/>
        <w:spacing w:before="0" w:beforeAutospacing="0" w:after="0" w:afterAutospacing="0"/>
        <w:ind w:firstLine="708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(c) glukoznih sirupov na osnovi ječmena;</w:t>
      </w:r>
    </w:p>
    <w:p w:rsidR="002D0387" w:rsidRPr="00544BD9" w:rsidRDefault="002D0387" w:rsidP="002D0387">
      <w:pPr>
        <w:pStyle w:val="norm"/>
        <w:spacing w:before="0" w:beforeAutospacing="0" w:after="0" w:afterAutospacing="0"/>
        <w:ind w:firstLine="708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(d) žit, ki se uporabljajo za alkoholne destilate, vključno z etilnim alkoholom kmetijskega izvora;</w:t>
      </w: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2. raki in proizvodi iz njih;</w:t>
      </w: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3. jajca in proizvodi iz njih;</w:t>
      </w: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4. ribe in proizvodi iz njih, razen:</w:t>
      </w:r>
    </w:p>
    <w:p w:rsidR="002D0387" w:rsidRPr="00544BD9" w:rsidRDefault="002D0387" w:rsidP="002D0387">
      <w:pPr>
        <w:pStyle w:val="norm"/>
        <w:spacing w:before="0" w:beforeAutospacing="0" w:after="0" w:afterAutospacing="0"/>
        <w:ind w:firstLine="708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(a) ribje želatine, ki se uporablja kot nosilec za vitamine ali karotenoide;</w:t>
      </w: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(b) ribje želatine ali želatine iz ribjih mehurjev, ki se uporablja kot sredstvo za bistrenje piva in vina;</w:t>
      </w: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5. arašidi (kikiriki) in proizvodi iz njih;</w:t>
      </w: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6. zrnje soje in proizvodi iz njega, razen:</w:t>
      </w:r>
    </w:p>
    <w:p w:rsidR="002D0387" w:rsidRPr="00544BD9" w:rsidRDefault="002D0387" w:rsidP="002D0387">
      <w:pPr>
        <w:pStyle w:val="norm"/>
        <w:spacing w:before="0" w:beforeAutospacing="0" w:after="0" w:afterAutospacing="0"/>
        <w:ind w:firstLine="708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(a) popolnoma rafiniranega sojinega olja in maščob </w:t>
      </w:r>
      <w:r w:rsidRPr="00544BD9">
        <w:rPr>
          <w:rFonts w:ascii="Verdana" w:hAnsi="Verdana"/>
          <w:i/>
          <w:sz w:val="20"/>
          <w:szCs w:val="20"/>
        </w:rPr>
        <w:t>(</w:t>
      </w:r>
      <w:hyperlink r:id="rId11" w:anchor="E0042" w:history="1">
        <w:r w:rsidRPr="00544BD9">
          <w:rPr>
            <w:rStyle w:val="superscript"/>
            <w:rFonts w:ascii="Verdana" w:hAnsi="Verdana"/>
            <w:i/>
            <w:sz w:val="20"/>
            <w:szCs w:val="20"/>
            <w:u w:val="single"/>
          </w:rPr>
          <w:t>42</w:t>
        </w:r>
      </w:hyperlink>
      <w:r w:rsidRPr="00544BD9">
        <w:rPr>
          <w:rFonts w:ascii="Verdana" w:hAnsi="Verdana"/>
          <w:i/>
          <w:sz w:val="20"/>
          <w:szCs w:val="20"/>
        </w:rPr>
        <w:t>)</w:t>
      </w:r>
      <w:r w:rsidRPr="00544BD9">
        <w:rPr>
          <w:rFonts w:ascii="Verdana" w:hAnsi="Verdana"/>
          <w:sz w:val="20"/>
          <w:szCs w:val="20"/>
        </w:rPr>
        <w:t>;</w:t>
      </w: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(b) naravnih zmesi tokoferola (E306), naravnega D-alfa-tokoferola, naravnega D-alfa-tokoferol acetata, naravnega D-alfa-tokoferol sukcinata iz soje;</w:t>
      </w:r>
    </w:p>
    <w:p w:rsidR="002D0387" w:rsidRPr="00544BD9" w:rsidRDefault="002D0387" w:rsidP="002D0387">
      <w:pPr>
        <w:pStyle w:val="norm"/>
        <w:spacing w:before="0" w:beforeAutospacing="0" w:after="0" w:afterAutospacing="0"/>
        <w:ind w:firstLine="708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(c) rastlinskih sterolov in estrov rastlinskih sterolov iz sojinega olja;</w:t>
      </w:r>
    </w:p>
    <w:p w:rsidR="002D0387" w:rsidRPr="00544BD9" w:rsidRDefault="002D0387" w:rsidP="002D0387">
      <w:pPr>
        <w:pStyle w:val="norm"/>
        <w:spacing w:before="0" w:beforeAutospacing="0" w:after="0" w:afterAutospacing="0"/>
        <w:ind w:firstLine="708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(d) rastlinskih estrov stanola, proizvedenih iz sterolov iz sojinega olja;</w:t>
      </w: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7. mleko in mlečni proizvodi (ki vsebujejo laktozo), razen:</w:t>
      </w: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(a) sirotke, ki se uporablja za alkoholne destilate, vključno z etilnim alkoholom kmetijskega izvora;</w:t>
      </w:r>
    </w:p>
    <w:p w:rsidR="002D0387" w:rsidRPr="00544BD9" w:rsidRDefault="002D0387" w:rsidP="002D0387">
      <w:pPr>
        <w:pStyle w:val="norm"/>
        <w:spacing w:before="0" w:beforeAutospacing="0" w:after="0" w:afterAutospacing="0"/>
        <w:ind w:firstLine="708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(b) laktitola;</w:t>
      </w: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8. oreški, in sicer mandlji (</w:t>
      </w:r>
      <w:r w:rsidRPr="00544BD9">
        <w:rPr>
          <w:rStyle w:val="italics"/>
          <w:rFonts w:ascii="Verdana" w:hAnsi="Verdana"/>
          <w:sz w:val="20"/>
          <w:szCs w:val="20"/>
        </w:rPr>
        <w:t>Amygdalus communis</w:t>
      </w:r>
      <w:r w:rsidRPr="00544BD9">
        <w:rPr>
          <w:rFonts w:ascii="Verdana" w:hAnsi="Verdana"/>
          <w:sz w:val="20"/>
          <w:szCs w:val="20"/>
        </w:rPr>
        <w:t xml:space="preserve"> L.), lešniki (</w:t>
      </w:r>
      <w:r w:rsidRPr="00544BD9">
        <w:rPr>
          <w:rStyle w:val="italics"/>
          <w:rFonts w:ascii="Verdana" w:hAnsi="Verdana"/>
          <w:sz w:val="20"/>
          <w:szCs w:val="20"/>
        </w:rPr>
        <w:t>Corylus avellana</w:t>
      </w:r>
      <w:r w:rsidRPr="00544BD9">
        <w:rPr>
          <w:rFonts w:ascii="Verdana" w:hAnsi="Verdana"/>
          <w:sz w:val="20"/>
          <w:szCs w:val="20"/>
        </w:rPr>
        <w:t>), orehi (</w:t>
      </w:r>
      <w:r w:rsidRPr="00544BD9">
        <w:rPr>
          <w:rStyle w:val="italics"/>
          <w:rFonts w:ascii="Verdana" w:hAnsi="Verdana"/>
          <w:sz w:val="20"/>
          <w:szCs w:val="20"/>
        </w:rPr>
        <w:t>Juglans regia</w:t>
      </w:r>
      <w:r w:rsidRPr="00544BD9">
        <w:rPr>
          <w:rFonts w:ascii="Verdana" w:hAnsi="Verdana"/>
          <w:sz w:val="20"/>
          <w:szCs w:val="20"/>
        </w:rPr>
        <w:t>), indijski oreščki (</w:t>
      </w:r>
      <w:r w:rsidRPr="00544BD9">
        <w:rPr>
          <w:rStyle w:val="italics"/>
          <w:rFonts w:ascii="Verdana" w:hAnsi="Verdana"/>
          <w:sz w:val="20"/>
          <w:szCs w:val="20"/>
        </w:rPr>
        <w:t>Anacardium occidentale</w:t>
      </w:r>
      <w:r w:rsidRPr="00544BD9">
        <w:rPr>
          <w:rFonts w:ascii="Verdana" w:hAnsi="Verdana"/>
          <w:sz w:val="20"/>
          <w:szCs w:val="20"/>
        </w:rPr>
        <w:t>), ameriški orehi (</w:t>
      </w:r>
      <w:r w:rsidRPr="00544BD9">
        <w:rPr>
          <w:rStyle w:val="italics"/>
          <w:rFonts w:ascii="Verdana" w:hAnsi="Verdana"/>
          <w:sz w:val="20"/>
          <w:szCs w:val="20"/>
        </w:rPr>
        <w:t>Carya illinoinensis</w:t>
      </w:r>
      <w:r w:rsidRPr="00544BD9">
        <w:rPr>
          <w:rFonts w:ascii="Verdana" w:hAnsi="Verdana"/>
          <w:sz w:val="20"/>
          <w:szCs w:val="20"/>
        </w:rPr>
        <w:t xml:space="preserve"> (Wangenh.) K. Koch), brazilski oreščki (</w:t>
      </w:r>
      <w:r w:rsidRPr="00544BD9">
        <w:rPr>
          <w:rStyle w:val="italics"/>
          <w:rFonts w:ascii="Verdana" w:hAnsi="Verdana"/>
          <w:sz w:val="20"/>
          <w:szCs w:val="20"/>
        </w:rPr>
        <w:t>Bertholletia excelsa</w:t>
      </w:r>
      <w:r w:rsidRPr="00544BD9">
        <w:rPr>
          <w:rFonts w:ascii="Verdana" w:hAnsi="Verdana"/>
          <w:sz w:val="20"/>
          <w:szCs w:val="20"/>
        </w:rPr>
        <w:t>), pistacija (</w:t>
      </w:r>
      <w:r w:rsidRPr="00544BD9">
        <w:rPr>
          <w:rStyle w:val="italics"/>
          <w:rFonts w:ascii="Verdana" w:hAnsi="Verdana"/>
          <w:sz w:val="20"/>
          <w:szCs w:val="20"/>
        </w:rPr>
        <w:t>Pistacia vera</w:t>
      </w:r>
      <w:r w:rsidRPr="00544BD9">
        <w:rPr>
          <w:rFonts w:ascii="Verdana" w:hAnsi="Verdana"/>
          <w:sz w:val="20"/>
          <w:szCs w:val="20"/>
        </w:rPr>
        <w:t>), makadamija ali orehi Queensland (</w:t>
      </w:r>
      <w:r w:rsidRPr="00544BD9">
        <w:rPr>
          <w:rStyle w:val="italics"/>
          <w:rFonts w:ascii="Verdana" w:hAnsi="Verdana"/>
          <w:sz w:val="20"/>
          <w:szCs w:val="20"/>
        </w:rPr>
        <w:t>Macadamia ternifolia</w:t>
      </w:r>
      <w:r w:rsidRPr="00544BD9">
        <w:rPr>
          <w:rFonts w:ascii="Verdana" w:hAnsi="Verdana"/>
          <w:sz w:val="20"/>
          <w:szCs w:val="20"/>
        </w:rPr>
        <w:t>) ter proizvodi iz njih, razen oreškov, ki se uporabljajo za alkoholne destilate, vključno z etilnim alkoholom kmetijskega izvora;</w:t>
      </w: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9. listna zelena in proizvodi iz nje;</w:t>
      </w: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10. gorčično seme in proizvodi iz njega;</w:t>
      </w: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11. sezamovo seme in proizvodi iz njega;</w:t>
      </w: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12. žveplov dioksid in sulfiti v koncentraciji več kot 10 mg/kg ali 10 mg/l glede na skupni SO</w:t>
      </w:r>
      <w:r w:rsidRPr="00544BD9">
        <w:rPr>
          <w:rStyle w:val="subscript"/>
          <w:rFonts w:ascii="Verdana" w:hAnsi="Verdana"/>
          <w:sz w:val="20"/>
          <w:szCs w:val="20"/>
        </w:rPr>
        <w:t>2</w:t>
      </w:r>
      <w:r w:rsidRPr="00544BD9">
        <w:rPr>
          <w:rFonts w:ascii="Verdana" w:hAnsi="Verdana"/>
          <w:sz w:val="20"/>
          <w:szCs w:val="20"/>
        </w:rPr>
        <w:t>, ki se izračunajo za proizvode, ki so pripravljeni za uživanje ali obnovljeni v skladu z navodili proizvajalcev;</w:t>
      </w: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13. volčji bob in proizvodi iz njega;</w:t>
      </w: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14. mehkužci in proizvodi iz njih.</w:t>
      </w:r>
    </w:p>
    <w:p w:rsidR="002D0387" w:rsidRPr="00544BD9" w:rsidRDefault="002D0387" w:rsidP="002D0387">
      <w:pPr>
        <w:pStyle w:val="norm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2D0387" w:rsidRPr="00544BD9" w:rsidRDefault="002D0387" w:rsidP="002D0387">
      <w:pPr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  <w:r w:rsidRPr="00544BD9">
        <w:rPr>
          <w:rFonts w:ascii="Verdana" w:hAnsi="Verdana"/>
          <w:i/>
          <w:sz w:val="20"/>
          <w:szCs w:val="20"/>
        </w:rPr>
        <w:lastRenderedPageBreak/>
        <w:t>(</w:t>
      </w:r>
      <w:hyperlink r:id="rId12" w:anchor="src.E0042" w:history="1">
        <w:r w:rsidRPr="00544BD9">
          <w:rPr>
            <w:rStyle w:val="superscript"/>
            <w:rFonts w:ascii="Verdana" w:hAnsi="Verdana"/>
            <w:i/>
            <w:sz w:val="20"/>
            <w:szCs w:val="20"/>
            <w:u w:val="single"/>
          </w:rPr>
          <w:t>42</w:t>
        </w:r>
      </w:hyperlink>
      <w:r w:rsidRPr="00544BD9">
        <w:rPr>
          <w:rFonts w:ascii="Verdana" w:hAnsi="Verdana"/>
          <w:i/>
          <w:sz w:val="20"/>
          <w:szCs w:val="20"/>
        </w:rPr>
        <w:t>) In proizvodov iz njih, če ni možnosti, da bi se zaradi postopka njihove predelave povečala stopnja alergenosti, kakršna po ocenah Efse velja za ustrezni proizvod, iz katerega ti izhajajo.</w:t>
      </w:r>
    </w:p>
    <w:p w:rsidR="002D0387" w:rsidRPr="00544BD9" w:rsidRDefault="002D0387" w:rsidP="002D0387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2D0387" w:rsidRPr="00544BD9" w:rsidRDefault="002D0387" w:rsidP="002D038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sz w:val="20"/>
          <w:szCs w:val="20"/>
        </w:rPr>
        <w:t>B) Dietni obroki za otroke se pripravljajo ločeno na osnovi zdravniškega potrdila uradne medicine in v skladu z internimi navodili vrtca. Otrokom z alergijami oz. preobčutljivostmi  pripravljamo obroke z ustrezno zamenjavo jedi, ki ne vsebujejo alergenov. Tako staršem na podlagi prejetih informacij in ustrezno pripravljene hrane v skladu z (24) alinejo preambule Uredbe (EU) št. 1169/2011 o zagotavljanju informacij o živilih potrošnikom, omogočimo sprejemanje varnih odločitev.</w:t>
      </w:r>
    </w:p>
    <w:p w:rsidR="002D0387" w:rsidRPr="00544BD9" w:rsidRDefault="002D0387" w:rsidP="002D0387">
      <w:pPr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</w:p>
    <w:p w:rsidR="002D0387" w:rsidRPr="00544BD9" w:rsidRDefault="002D0387" w:rsidP="002D0387">
      <w:pPr>
        <w:spacing w:line="276" w:lineRule="auto"/>
        <w:rPr>
          <w:rFonts w:ascii="Verdana" w:hAnsi="Verdana"/>
          <w:iCs/>
          <w:sz w:val="20"/>
          <w:szCs w:val="20"/>
        </w:rPr>
      </w:pPr>
      <w:r w:rsidRPr="00544BD9">
        <w:rPr>
          <w:rFonts w:ascii="Verdana" w:hAnsi="Verdana"/>
          <w:iCs/>
          <w:sz w:val="20"/>
          <w:szCs w:val="20"/>
        </w:rPr>
        <w:t>Organizator/ka prehrane in ZHR</w:t>
      </w:r>
      <w:r w:rsidR="00544BD9">
        <w:rPr>
          <w:rFonts w:ascii="Verdana" w:hAnsi="Verdana"/>
          <w:iCs/>
          <w:sz w:val="20"/>
          <w:szCs w:val="20"/>
        </w:rPr>
        <w:t xml:space="preserve">: </w:t>
      </w:r>
      <w:r w:rsidR="00544BD9">
        <w:rPr>
          <w:rFonts w:ascii="Verdana" w:hAnsi="Verdana"/>
          <w:iCs/>
          <w:sz w:val="20"/>
          <w:szCs w:val="20"/>
        </w:rPr>
        <w:tab/>
      </w:r>
      <w:r w:rsidR="00544BD9">
        <w:rPr>
          <w:rFonts w:ascii="Verdana" w:hAnsi="Verdana"/>
          <w:iCs/>
          <w:sz w:val="20"/>
          <w:szCs w:val="20"/>
        </w:rPr>
        <w:tab/>
      </w:r>
      <w:r w:rsidR="00544BD9">
        <w:rPr>
          <w:rFonts w:ascii="Verdana" w:hAnsi="Verdana"/>
          <w:iCs/>
          <w:sz w:val="20"/>
          <w:szCs w:val="20"/>
        </w:rPr>
        <w:tab/>
      </w:r>
      <w:r w:rsidR="00544BD9">
        <w:rPr>
          <w:rFonts w:ascii="Verdana" w:hAnsi="Verdana"/>
          <w:iCs/>
          <w:sz w:val="20"/>
          <w:szCs w:val="20"/>
        </w:rPr>
        <w:tab/>
      </w:r>
      <w:r w:rsidR="00E73F8B">
        <w:rPr>
          <w:rFonts w:ascii="Verdana" w:hAnsi="Verdana"/>
          <w:iCs/>
          <w:sz w:val="20"/>
          <w:szCs w:val="20"/>
        </w:rPr>
        <w:t>Ravnatelj</w:t>
      </w:r>
      <w:r w:rsidRPr="00544BD9">
        <w:rPr>
          <w:rFonts w:ascii="Verdana" w:hAnsi="Verdana"/>
          <w:iCs/>
          <w:sz w:val="20"/>
          <w:szCs w:val="20"/>
        </w:rPr>
        <w:t xml:space="preserve"> vrtca:</w:t>
      </w:r>
    </w:p>
    <w:p w:rsidR="002D0387" w:rsidRPr="00544BD9" w:rsidRDefault="002D0387" w:rsidP="002D0387">
      <w:pPr>
        <w:spacing w:line="276" w:lineRule="auto"/>
        <w:rPr>
          <w:rFonts w:ascii="Verdana" w:hAnsi="Verdana"/>
          <w:sz w:val="20"/>
          <w:szCs w:val="20"/>
        </w:rPr>
      </w:pPr>
      <w:r w:rsidRPr="00544BD9">
        <w:rPr>
          <w:rFonts w:ascii="Verdana" w:hAnsi="Verdana"/>
          <w:iCs/>
          <w:sz w:val="20"/>
          <w:szCs w:val="20"/>
        </w:rPr>
        <w:t xml:space="preserve">          Nataša Kučan                </w:t>
      </w:r>
      <w:r w:rsidR="00544BD9">
        <w:rPr>
          <w:rFonts w:ascii="Verdana" w:hAnsi="Verdana"/>
          <w:iCs/>
          <w:sz w:val="20"/>
          <w:szCs w:val="20"/>
        </w:rPr>
        <w:t xml:space="preserve">            </w:t>
      </w:r>
      <w:r w:rsidR="00E73F8B">
        <w:rPr>
          <w:rFonts w:ascii="Verdana" w:hAnsi="Verdana"/>
          <w:iCs/>
          <w:sz w:val="20"/>
          <w:szCs w:val="20"/>
        </w:rPr>
        <w:t xml:space="preserve">                         Borut Anželj</w:t>
      </w:r>
      <w:bookmarkStart w:id="0" w:name="_GoBack"/>
      <w:bookmarkEnd w:id="0"/>
    </w:p>
    <w:p w:rsidR="00B507D6" w:rsidRPr="00544BD9" w:rsidRDefault="00B507D6">
      <w:pPr>
        <w:rPr>
          <w:rFonts w:ascii="Verdana" w:hAnsi="Verdana"/>
          <w:sz w:val="20"/>
          <w:szCs w:val="20"/>
        </w:rPr>
      </w:pPr>
    </w:p>
    <w:sectPr w:rsidR="00B507D6" w:rsidRPr="00544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0D" w:rsidRDefault="006E330D" w:rsidP="00544BD9">
      <w:r>
        <w:separator/>
      </w:r>
    </w:p>
  </w:endnote>
  <w:endnote w:type="continuationSeparator" w:id="0">
    <w:p w:rsidR="006E330D" w:rsidRDefault="006E330D" w:rsidP="0054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0D" w:rsidRDefault="006E330D" w:rsidP="00544BD9">
      <w:r>
        <w:separator/>
      </w:r>
    </w:p>
  </w:footnote>
  <w:footnote w:type="continuationSeparator" w:id="0">
    <w:p w:rsidR="006E330D" w:rsidRDefault="006E330D" w:rsidP="00544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87"/>
    <w:rsid w:val="002D0387"/>
    <w:rsid w:val="00404ACD"/>
    <w:rsid w:val="00544BD9"/>
    <w:rsid w:val="006E330D"/>
    <w:rsid w:val="00A42D4F"/>
    <w:rsid w:val="00B507D6"/>
    <w:rsid w:val="00E73F8B"/>
    <w:rsid w:val="00F3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B7AB3"/>
  <w15:docId w15:val="{E7CEAE98-32C8-4813-8C85-D62DD2C3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D0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2D0387"/>
    <w:rPr>
      <w:color w:val="0000FF"/>
      <w:u w:val="single"/>
    </w:rPr>
  </w:style>
  <w:style w:type="paragraph" w:customStyle="1" w:styleId="Default">
    <w:name w:val="Default"/>
    <w:rsid w:val="002D03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norm">
    <w:name w:val="norm"/>
    <w:basedOn w:val="Navaden"/>
    <w:rsid w:val="002D0387"/>
    <w:pPr>
      <w:spacing w:before="100" w:beforeAutospacing="1" w:after="100" w:afterAutospacing="1"/>
    </w:pPr>
  </w:style>
  <w:style w:type="character" w:customStyle="1" w:styleId="superscript">
    <w:name w:val="superscript"/>
    <w:basedOn w:val="Privzetapisavaodstavka"/>
    <w:rsid w:val="002D0387"/>
  </w:style>
  <w:style w:type="character" w:customStyle="1" w:styleId="italics">
    <w:name w:val="italics"/>
    <w:basedOn w:val="Privzetapisavaodstavka"/>
    <w:rsid w:val="002D0387"/>
  </w:style>
  <w:style w:type="character" w:customStyle="1" w:styleId="subscript">
    <w:name w:val="subscript"/>
    <w:basedOn w:val="Privzetapisavaodstavka"/>
    <w:rsid w:val="002D038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4BD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4BD9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44BD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44BD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44BD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44BD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1411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eur-lex.europa.eu/legal-content/SL/TXT/?qid=1415864949972&amp;uri=CELEX:02011R1169-201402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eur-lex.europa.eu/legal-content/SL/TXT/?qid=1415864949972&amp;uri=CELEX:02011R1169-20140219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eur-lex.europa.eu/legal-content/SL/TXT/?qid=1415864949972&amp;uri=CELEX:02011R1169-201402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ur-lex.europa.eu/legal-content/SL/TXT/?qid=1415864949972&amp;uri=CELEX:02011R1169-201402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Vrtec2</dc:creator>
  <cp:lastModifiedBy>Bernardka Maric</cp:lastModifiedBy>
  <cp:revision>2</cp:revision>
  <dcterms:created xsi:type="dcterms:W3CDTF">2019-04-02T05:10:00Z</dcterms:created>
  <dcterms:modified xsi:type="dcterms:W3CDTF">2019-04-02T05:10:00Z</dcterms:modified>
</cp:coreProperties>
</file>